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October</w:t>
      </w:r>
      <w:r>
        <w:t xml:space="preserve"> </w:t>
      </w:r>
      <w:r>
        <w:t xml:space="preserve">31,</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449</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and</w:t>
      </w:r>
      <w:r>
        <w:t xml:space="preserve"> </w:t>
      </w:r>
      <w:r>
        <w:t xml:space="preserve">methods</w:t>
      </w:r>
      <w:r>
        <w:t xml:space="preserve"> </w:t>
      </w:r>
      <w:r>
        <w:t xml:space="preserve">requested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also</w:t>
      </w:r>
      <w:r>
        <w:t xml:space="preserve"> </w:t>
      </w:r>
      <w:r>
        <w:t xml:space="preserve">examine</w:t>
      </w:r>
      <w:r>
        <w:t xml:space="preserve"> </w:t>
      </w:r>
      <w:r>
        <w:t xml:space="preserve">whether</w:t>
      </w:r>
      <w:r>
        <w:t xml:space="preserve"> </w:t>
      </w:r>
      <w:r>
        <w:t xml:space="preserve">there</w:t>
      </w:r>
      <w:r>
        <w:t xml:space="preserve"> </w:t>
      </w:r>
      <w:r>
        <w:t xml:space="preserve">is</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job</w:t>
      </w:r>
      <w:r>
        <w:t xml:space="preserve"> </w:t>
      </w:r>
      <w:r>
        <w:t xml:space="preserve">advertisements</w:t>
      </w:r>
      <w:r>
        <w:t xml:space="preserve"> </w:t>
      </w:r>
      <w:r>
        <w:t xml:space="preserve">highlighting</w:t>
      </w:r>
      <w:r>
        <w:t xml:space="preserve"> </w:t>
      </w:r>
      <w:r>
        <w:t xml:space="preserve">diversity</w:t>
      </w:r>
      <w:r>
        <w:t xml:space="preserve"> </w:t>
      </w:r>
      <w:r>
        <w:t xml:space="preserve">and</w:t>
      </w:r>
      <w:r>
        <w:t xml:space="preserve"> </w:t>
      </w:r>
      <w:r>
        <w:t xml:space="preserve">inclusivity,</w:t>
      </w:r>
      <w:r>
        <w:t xml:space="preserve"> </w:t>
      </w:r>
      <w:r>
        <w:t xml:space="preserve">thereby</w:t>
      </w:r>
      <w:r>
        <w:t xml:space="preserve"> </w:t>
      </w:r>
      <w:r>
        <w:t xml:space="preserve">encouraging</w:t>
      </w:r>
      <w:r>
        <w:t xml:space="preserve"> </w:t>
      </w:r>
      <w:r>
        <w:t xml:space="preserve">a</w:t>
      </w:r>
      <w:r>
        <w:t xml:space="preserve"> </w:t>
      </w:r>
      <w:r>
        <w:t xml:space="preserve">broader</w:t>
      </w:r>
      <w:r>
        <w:t xml:space="preserve"> </w:t>
      </w:r>
      <w:r>
        <w:t xml:space="preserve">range</w:t>
      </w:r>
      <w:r>
        <w:t xml:space="preserve"> </w:t>
      </w:r>
      <w:r>
        <w:t xml:space="preserve">of</w:t>
      </w:r>
      <w:r>
        <w:t xml:space="preserve"> </w:t>
      </w:r>
      <w:r>
        <w:t xml:space="preserve">applicants.</w:t>
      </w:r>
      <w:r>
        <w:t xml:space="preserve"> </w:t>
      </w:r>
      <w:r>
        <w:t xml:space="preserve">Additionally,</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1"/>
    <w:bookmarkStart w:id="22" w:name="background"/>
    <w:p>
      <w:pPr>
        <w:pStyle w:val="Heading1"/>
      </w:pPr>
      <w:r>
        <w:t xml:space="preserve">Background</w:t>
      </w:r>
    </w:p>
    <w:p>
      <w:pPr>
        <w:pStyle w:val="FirstParagraph"/>
      </w:pPr>
      <w:r>
        <w:t xml:space="preserve">The academic job market is a source of uncertainty, both for job seekers, as they look for ads that are well-matched to their niche of skills and experience that have taken years to cultivate and refine, and for hiring committees as they sift through sometimes hundreds of applicants in the hope of finding a candidate that meets all of their needs. For many academics there is a perception that the last two to three decades have seen the job market become increasingly difficult for job seekers. In many fields it is common to hear that there are fewer jobs available relative to the number of PhD graduates, higher numbers of short-term temporary positions relative to secure tenure-track positions, and increasingly complex application requirements with specific statements (e.g. teaching, research, and diversity) that need to be tailed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echos findings from other fields, for example in biomedical sciences where there is one tenure-track position in the US for approximately every 6.3 PhD graduates</w:t>
      </w:r>
      <w:r>
        <w:t xml:space="preserve"> </w:t>
      </w:r>
      <w:r>
        <w:t xml:space="preserve">(Ghaffarzadegan et al., 2015)</w:t>
      </w:r>
      <w:r>
        <w:t xml:space="preserve">. 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2021–22 Faculty indicate that more than 60% of faculty positions in US universities were held by non-tenure track full time or part time contingent faculty members</w:t>
      </w:r>
      <w:r>
        <w:t xml:space="preserve"> </w:t>
      </w:r>
      <w:r>
        <w:t xml:space="preserve">(Colby, 2022)</w:t>
      </w:r>
      <w:r>
        <w:t xml:space="preserve">. Contingent faculty positions are precarious because they provide low or no health and retirement benefits, little or nothing in the way of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they work at</w:t>
      </w:r>
      <w:r>
        <w:t xml:space="preserve"> </w:t>
      </w:r>
      <w:r>
        <w:t xml:space="preserve">(Platzer and Allison, 2018)</w:t>
      </w:r>
      <w:r>
        <w:t xml:space="preserve">.</w:t>
      </w:r>
    </w:p>
    <w:p>
      <w:pPr>
        <w:pStyle w:val="BodyText"/>
      </w:pPr>
      <w:r>
        <w:t xml:space="preserve">Research into</w:t>
      </w:r>
    </w:p>
    <w:p>
      <w:pPr>
        <w:pStyle w:val="BodyText"/>
      </w:pPr>
      <w:r>
        <w:t xml:space="preserve">abysmal</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Full details of the category reduction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7"/>
        </w:tc>
      </w:tr>
    </w:tbl>
    <w:p>
      <w:pPr>
        <w:pStyle w:val="BodyText"/>
      </w:pPr>
      <w:r>
        <w:t xml:space="preserve">We collected data from 547 ads for tenure-track jobs in archaeology posted during 2013-2023.</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protiens,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consistently one of the least frequently mentioned topics, virtually disappeared from job ads during 2019-2021. Mentions of complex societies in ads consistently decrease over the study period, while mentions of public archaeology consistently increase. The topic of Environmental Archaeology remains consistently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1053) = 235.49, p = 4</w:t>
      </w:r>
      <w:r>
        <w:rPr>
          <w:iCs/>
          <w:i/>
        </w:rPr>
        <w:t xml:space="preserve">x</w:t>
      </w:r>
      <w:r>
        <w:t xml:space="preserve">10</w:t>
      </w:r>
      <w:r>
        <w:rPr>
          <w:vertAlign w:val="superscript"/>
        </w:rPr>
        <w:t xml:space="preserve">-53</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A cover letter and CV are less requested in more recent years, especially after 2018. The requirement for a diversity statement is rare until 2019-2020, peaks around 2020-2021, then decreases towards the present. Requests for names of recommenders (either zero or three names, rarely only two names) reaches a maximum during 2019-2020 then decreases towards the present.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the three ranks are cover letter and CV.</w:t>
      </w:r>
    </w:p>
    <w:bookmarkEnd w:id="60"/>
    <w:bookmarkEnd w:id="61"/>
    <w:bookmarkStart w:id="62" w:name="discussion"/>
    <w:p>
      <w:pPr>
        <w:pStyle w:val="Heading1"/>
      </w:pPr>
      <w:r>
        <w:t xml:space="preserve">Discussion</w:t>
      </w:r>
    </w:p>
    <w:p>
      <w:pPr>
        <w:pStyle w:val="FirstParagraph"/>
      </w:pPr>
      <w:r>
        <w:t xml:space="preserve">Our results reveal some of these shifts, providing insights into the dynamics of topical, methods, and geographic foci over time. While these dynamics are deeply felt by people actively seeking faculty jobs, we believe this is the first time they have been quantified at such a large scale. Trends in job ads reflect broader shifts in intellectual and practical priorities about archaeology, undergraduate education, and the process of hiring professors. The demand for archaeology faculty, indicated by the total number of tenure-track jobs, maybe explained by a variety of processes. The downward trend in tenure-track positions during 2013-2019 related to decline in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p>
    <w:p>
      <w:pPr>
        <w:pStyle w:val="BodyText"/>
      </w:pPr>
      <w:r>
        <w:t xml:space="preserve">In addition to a dip in job ads, our results show that 2019-2021 was a major inflection point in the popularity of topics and regions in job ads. Indigenous and historical archaeology and the Americas strongly increase in popularity at this time, while archaeological science, complex societies, the Mediterranean and Near East and show declines. Similarly, the number of job ads with a geographic focus on the Americas and Africa peaks during this time. These shifts in the topics and geographic foci of job ads were likely been influenced by broader cultural movements such as Black Lives Matter, protests about racial injustice, and efforts to amplify Indigenous voices. COVID-19 negatively impacted Black, American Indian and Hispanic communities with significantly higher infection and morbidity rates, drawing attention to racial and socio-economic inequality in the US. The Black Lives Matter movement, dating back to 2013, intersected profoundly with the pandemic with the murder of George Floyd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 Our data suggest that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universities tailored the content of the job ads to focus on topics where Black and Indigenous researchers are most numerous, ensuring that these researchers would be well-represented in the pool of applicants.</w:t>
      </w:r>
    </w:p>
    <w:p>
      <w:pPr>
        <w:pStyle w:val="BodyText"/>
      </w:pPr>
      <w:r>
        <w:t xml:space="preserve">This striking change in topics and geographic foci of 2019-2021 occurred against a backdrop of several longer-term trends. We found a long-term decline in topics such as the archaeology of complex societies and archaeological science, Mesoamerica and South America as a geographic focus, and methods relating to landscape archaeology. These trends are harder to explain as we cannot link their start to a discrete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This might explain why archaeological science is showing a decline, as demand for methods for analyzing artefact materiality, ontology, and power displace physical methods for compositional analysis.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in the past may have shifted attention away from the study of monumental architecture, elite societies, political hierarchies and state systems. Other relevant factors may include increasing difficulty of obtaining research funding to support archaeological science research, such as laboratory facilities and instrumentation, and an increasing emphasis on more job-oriented degrees that prepare students for working in cultural heritage management rather than advanced research.</w:t>
      </w:r>
    </w:p>
    <w:p>
      <w:pPr>
        <w:pStyle w:val="BodyText"/>
      </w:pPr>
      <w:r>
        <w:t xml:space="preserve">Our data on the requirements for applicants shows that application complexity has gradually increased over time. This trend is especially pronounced for Assistant Professor positions which make more demands on applicants than Associate and Full Professor positions. We saw a growing demand for research and teaching statements. Demand for diversity statements shows a unique trajectory, peaking in 2020-2021 and declining into the present. This may relate to the intersecting concerns emerging during the COVID-19 pandemic, which have declined in job ads as the pandemic moves into the past. The decline in recent years for names of recommenders in the initial application may be a response to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w:t>
      </w:r>
    </w:p>
    <w:p>
      <w:pPr>
        <w:pStyle w:val="BodyText"/>
      </w:pPr>
      <w:r>
        <w:t xml:space="preserve">A key limitation of our research is that it does not include an analysis of the academic profiles of those who were eventually hired from the job ads. Our results reveal collective aspirations for the future of the field, but only from those who are securely employed in it as tenured professors serving on hiring committees at US universities. Our results do not show how these aspirations worked out in the topical and geographic foci of the people who were eventually hired for the positions studied here. Future work should consider interviewing faculty hired during our study period to match up people to the ads they responded to. If the successful applicants can be identified, then the match between the details of the job ad and the applicant’s research can be analysed. Then we can assess how effective the hiring process is for driving change in the discipline by setting the topics of courses that will be taught in undergraduate and graduate curricula, and research that will be supported by universities.</w:t>
      </w:r>
    </w:p>
    <w:bookmarkEnd w:id="62"/>
    <w:bookmarkStart w:id="63" w:name="conclusion"/>
    <w:p>
      <w:pPr>
        <w:pStyle w:val="Heading1"/>
      </w:pPr>
      <w:r>
        <w:t xml:space="preserve">Conclusion</w:t>
      </w:r>
    </w:p>
    <w:bookmarkEnd w:id="63"/>
    <w:bookmarkStart w:id="64" w:name="acknowledgements"/>
    <w:p>
      <w:pPr>
        <w:pStyle w:val="Heading1"/>
      </w:pPr>
      <w:r>
        <w:t xml:space="preserve">Acknowledgements</w:t>
      </w:r>
    </w:p>
    <w:p>
      <w:r>
        <w:br w:type="page"/>
      </w:r>
    </w:p>
    <w:bookmarkEnd w:id="64"/>
    <w:bookmarkStart w:id="83" w:name="references"/>
    <w:p>
      <w:pPr>
        <w:pStyle w:val="Heading1"/>
      </w:pPr>
      <w:r>
        <w:t xml:space="preserve">References</w:t>
      </w:r>
    </w:p>
    <w:bookmarkStart w:id="81" w:name="refs"/>
    <w:bookmarkStart w:id="65" w:name="ref-colby2022annual"/>
    <w:p>
      <w:pPr>
        <w:pStyle w:val="Bibliography"/>
      </w:pPr>
      <w:r>
        <w:t xml:space="preserve">Colby, G., 2022. The annual report on the economic status of the profession, 2021–22. Academe, Summer 74–111.</w:t>
      </w:r>
    </w:p>
    <w:bookmarkEnd w:id="65"/>
    <w:bookmarkStart w:id="67"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6">
        <w:r>
          <w:rPr>
            <w:rStyle w:val="Hyperlink"/>
          </w:rPr>
          <w:t xml:space="preserve">https://doi.org/10.1017/aap.2022.8</w:t>
        </w:r>
      </w:hyperlink>
    </w:p>
    <w:bookmarkEnd w:id="67"/>
    <w:bookmarkStart w:id="69"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68">
        <w:r>
          <w:rPr>
            <w:rStyle w:val="Hyperlink"/>
          </w:rPr>
          <w:t xml:space="preserve">https://doi.org/10.1111/aman.13781</w:t>
        </w:r>
      </w:hyperlink>
    </w:p>
    <w:bookmarkEnd w:id="69"/>
    <w:bookmarkStart w:id="71"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70">
        <w:r>
          <w:rPr>
            <w:rStyle w:val="Hyperlink"/>
          </w:rPr>
          <w:t xml:space="preserve">https://doi.org/10.1002/sres.2324</w:t>
        </w:r>
      </w:hyperlink>
    </w:p>
    <w:bookmarkEnd w:id="71"/>
    <w:bookmarkStart w:id="72"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72"/>
    <w:bookmarkStart w:id="73" w:name="ref-musial2018five"/>
    <w:p>
      <w:pPr>
        <w:pStyle w:val="Bibliography"/>
      </w:pPr>
      <w:r>
        <w:t xml:space="preserve">Musial, J., Holmes, C., 2018. Five-year study on hiring trends in gender, women’s, and feminist studies. Feminist Studies 44, 253–272.</w:t>
      </w:r>
    </w:p>
    <w:bookmarkEnd w:id="73"/>
    <w:bookmarkStart w:id="75" w:name="ref-Passalacqua_2018"/>
    <w:p>
      <w:pPr>
        <w:pStyle w:val="Bibliography"/>
      </w:pPr>
      <w:r>
        <w:t xml:space="preserve">Passalacqua, N.V., 2018. Are careers in biological anthropology sustainable? American Journal of Physical Anthropology 166, 772–776.</w:t>
      </w:r>
      <w:r>
        <w:t xml:space="preserve"> </w:t>
      </w:r>
      <w:hyperlink r:id="rId74">
        <w:r>
          <w:rPr>
            <w:rStyle w:val="Hyperlink"/>
          </w:rPr>
          <w:t xml:space="preserve">https://doi.org/10.1002/ajpa.23457</w:t>
        </w:r>
      </w:hyperlink>
    </w:p>
    <w:bookmarkEnd w:id="75"/>
    <w:bookmarkStart w:id="77"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76">
        <w:r>
          <w:rPr>
            <w:rStyle w:val="Hyperlink"/>
          </w:rPr>
          <w:t xml:space="preserve">https://culanth.org/fieldsights/academic-precarity-in-american-anthropology</w:t>
        </w:r>
      </w:hyperlink>
      <w:r>
        <w:t xml:space="preserve"> </w:t>
      </w:r>
      <w:r>
        <w:t xml:space="preserve">(accessed 10.31.2024).</w:t>
      </w:r>
    </w:p>
    <w:bookmarkEnd w:id="77"/>
    <w:bookmarkStart w:id="78"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78"/>
    <w:bookmarkStart w:id="80"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79">
        <w:r>
          <w:rPr>
            <w:rStyle w:val="Hyperlink"/>
          </w:rPr>
          <w:t xml:space="preserve">https://doi.org/10.1111/j.1556-3502.2010.51904.x</w:t>
        </w:r>
      </w:hyperlink>
    </w:p>
    <w:bookmarkEnd w:id="80"/>
    <w:bookmarkEnd w:id="81"/>
    <w:p>
      <w:r>
        <w:br w:type="page"/>
      </w:r>
    </w:p>
    <w:bookmarkStart w:id="82" w:name="colophon"/>
    <w:p>
      <w:pPr>
        <w:pStyle w:val="Heading3"/>
      </w:pPr>
      <w:r>
        <w:t xml:space="preserve">Colophon</w:t>
      </w:r>
    </w:p>
    <w:p>
      <w:pPr>
        <w:pStyle w:val="FirstParagraph"/>
      </w:pPr>
      <w:r>
        <w:t xml:space="preserve">This report was generated on 2024-10-31 13:47:01.368454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2024-10-31</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archive        1.1.9   2024-09-12 [1] CRAN (R 4.4.1)</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1.6.4   2024-04-25 [1] CRAN (R 4.4.0)</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0.3.5   2024-04-22 [1] CRAN (R 4.4.0)</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1.48    2024-07-07 [1] CRAN (R 4.4.0)</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   2023-12-15 [1] CRAN (R 4.4.0)</w:t>
      </w:r>
      <w:r>
        <w:br/>
      </w:r>
      <w:r>
        <w:rPr>
          <w:rStyle w:val="VerbatimChar"/>
        </w:rPr>
        <w:t xml:space="preserve"> Matrix         1.7-0   2024-04-26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1.4.4   2024-03-17 [1] CRAN (R 4.4.0)</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  2024-07-17 [1] CRAN (R 4.4.0)</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2.28    2024-08-17 [1] CRAN (R 4.4.1)</w:t>
      </w:r>
      <w:r>
        <w:br/>
      </w:r>
      <w:r>
        <w:rPr>
          <w:rStyle w:val="VerbatimChar"/>
        </w:rPr>
        <w:t xml:space="preserve"> rprojroot      2.0.4   2023-11-05 [1] CRAN (R 4.4.0)</w:t>
      </w:r>
      <w:r>
        <w:br/>
      </w:r>
      <w:r>
        <w:rPr>
          <w:rStyle w:val="VerbatimChar"/>
        </w:rPr>
        <w:t xml:space="preserve"> rstudioapi     0.16.0  2024-03-24 [1] CRAN (R 4.4.0)</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3.0.1   2024-07-31 [1] CRAN (R 4.4.0)</w:t>
      </w:r>
      <w:r>
        <w:br/>
      </w:r>
      <w:r>
        <w:rPr>
          <w:rStyle w:val="VerbatimChar"/>
        </w:rPr>
        <w:t xml:space="preserve"> xfun           0.48    2024-10-03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[01da6cf] 2024-10-31: text in background section</w:t>
      </w:r>
    </w:p>
    <w:bookmarkEnd w:id="82"/>
    <w:bookmarkEnd w:id="8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76" Target="https://culanth.org/fieldsights/academic-precarity-in-american-anthropology" TargetMode="External" /><Relationship Type="http://schemas.openxmlformats.org/officeDocument/2006/relationships/hyperlink" Id="rId74" Target="https://doi.org/10.1002/ajpa.23457" TargetMode="External" /><Relationship Type="http://schemas.openxmlformats.org/officeDocument/2006/relationships/hyperlink" Id="rId70"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68" Target="https://doi.org/10.1111/aman.13781" TargetMode="External" /><Relationship Type="http://schemas.openxmlformats.org/officeDocument/2006/relationships/hyperlink" Id="rId79" Target="https://doi.org/10.1111/j.1556-3502.2010.51904.x"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76" Target="https://culanth.org/fieldsights/academic-precarity-in-american-anthropology" TargetMode="External" /><Relationship Type="http://schemas.openxmlformats.org/officeDocument/2006/relationships/hyperlink" Id="rId74" Target="https://doi.org/10.1002/ajpa.23457" TargetMode="External" /><Relationship Type="http://schemas.openxmlformats.org/officeDocument/2006/relationships/hyperlink" Id="rId70"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68" Target="https://doi.org/10.1111/aman.13781" TargetMode="External" /><Relationship Type="http://schemas.openxmlformats.org/officeDocument/2006/relationships/hyperlink" Id="rId79" Target="https://doi.org/10.1111/j.1556-3502.2010.51904.x"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2024-10-31T20:47:06Z</dcterms:created>
  <dcterms:modified xsi:type="dcterms:W3CDTF">2024-10-31T20:47:06Z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449 job ads posted from 2013-2023. Our analysis focuses on shifts in archaeological topics and methods requested in job ads. We investigate whether the burden on applicants has changed over time: do institutions request more information and documents from applicants at the initial stages of application, compared to a decade ago? We also examine whether there is an increasing trend in job advertisements highlighting diversity and inclusivity, thereby encouraging a broader range of applicants. Additionally,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October 31,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